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N w:val="0"/>
        <w:snapToGrid w:val="0"/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bookmarkStart w:id="0" w:name="_Hlk1487899"/>
    </w:p>
    <w:p>
      <w:pPr>
        <w:autoSpaceDN w:val="0"/>
        <w:snapToGrid w:val="0"/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</w:p>
    <w:p>
      <w:pPr>
        <w:autoSpaceDN w:val="0"/>
        <w:snapToGrid w:val="0"/>
        <w:spacing w:line="600" w:lineRule="exact"/>
        <w:jc w:val="center"/>
        <w:rPr>
          <w:rFonts w:hint="default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**************</w:t>
      </w:r>
    </w:p>
    <w:p>
      <w:pPr>
        <w:autoSpaceDN w:val="0"/>
        <w:snapToGrid w:val="0"/>
        <w:spacing w:line="600" w:lineRule="exact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基金设立方案</w:t>
      </w:r>
      <w:bookmarkEnd w:id="0"/>
    </w:p>
    <w:p>
      <w:pPr>
        <w:autoSpaceDN w:val="0"/>
        <w:adjustRightInd w:val="0"/>
        <w:spacing w:line="600" w:lineRule="exact"/>
        <w:ind w:firstLine="627" w:firstLineChars="196"/>
        <w:rPr>
          <w:rFonts w:hint="eastAsia" w:ascii="仿宋" w:hAnsi="仿宋" w:eastAsia="仿宋"/>
          <w:sz w:val="32"/>
          <w:szCs w:val="32"/>
        </w:rPr>
      </w:pPr>
    </w:p>
    <w:p>
      <w:pPr>
        <w:adjustRightInd w:val="0"/>
        <w:spacing w:line="600" w:lineRule="exact"/>
        <w:ind w:firstLine="640" w:firstLineChars="200"/>
        <w:rPr>
          <w:rFonts w:hint="default" w:ascii="仿宋_GB2312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为贯彻落实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************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按照《陕西省政府投资引导基金管理办法》（陕政办发〔2019〕1号）有关规定，</w:t>
      </w:r>
      <w:r>
        <w:rPr>
          <w:rFonts w:hint="eastAsia" w:ascii="仿宋_GB2312" w:eastAsia="仿宋_GB2312"/>
          <w:color w:val="000000"/>
          <w:sz w:val="32"/>
          <w:szCs w:val="32"/>
        </w:rPr>
        <w:t>陕西省政府投资引导基金（以下简称“引导基金”）联合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*********************</w:t>
      </w:r>
      <w:r>
        <w:rPr>
          <w:rFonts w:hint="eastAsia" w:ascii="仿宋_GB2312" w:eastAsia="仿宋_GB2312"/>
          <w:color w:val="000000"/>
          <w:sz w:val="32"/>
          <w:szCs w:val="32"/>
        </w:rPr>
        <w:t>，拟共同发起设立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*********</w:t>
      </w:r>
      <w:r>
        <w:rPr>
          <w:rFonts w:hint="eastAsia" w:ascii="仿宋_GB2312" w:eastAsia="仿宋_GB2312"/>
          <w:color w:val="000000"/>
          <w:sz w:val="32"/>
          <w:szCs w:val="32"/>
        </w:rPr>
        <w:t>基金（以下简称“基金”）。</w:t>
      </w:r>
    </w:p>
    <w:p>
      <w:pPr>
        <w:autoSpaceDN w:val="0"/>
        <w:adjustRightInd w:val="0"/>
        <w:spacing w:line="600" w:lineRule="exact"/>
        <w:ind w:firstLine="627" w:firstLineChars="196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一、基金定位及设立目标</w:t>
      </w:r>
    </w:p>
    <w:p>
      <w:pPr>
        <w:autoSpaceDN w:val="0"/>
        <w:adjustRightInd w:val="0"/>
        <w:spacing w:line="600" w:lineRule="exact"/>
        <w:ind w:firstLine="630" w:firstLineChars="196"/>
        <w:rPr>
          <w:rFonts w:hint="default" w:ascii="楷体_GB2312" w:hAnsi="楷体" w:eastAsia="楷体_GB2312" w:cs="楷体"/>
          <w:b/>
          <w:color w:val="000000"/>
          <w:kern w:val="44"/>
          <w:sz w:val="32"/>
          <w:szCs w:val="44"/>
          <w:lang w:val="en-US" w:eastAsia="zh-CN"/>
        </w:rPr>
      </w:pP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eastAsia="zh-CN"/>
        </w:rPr>
        <w:t>（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val="en-US" w:eastAsia="zh-CN"/>
        </w:rPr>
        <w:t>一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eastAsia="zh-CN"/>
        </w:rPr>
        <w:t>）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val="en-US" w:eastAsia="zh-CN"/>
        </w:rPr>
        <w:t>政策背景。</w:t>
      </w:r>
    </w:p>
    <w:p>
      <w:pPr>
        <w:autoSpaceDN w:val="0"/>
        <w:adjustRightInd w:val="0"/>
        <w:spacing w:line="600" w:lineRule="exact"/>
        <w:ind w:firstLine="630" w:firstLineChars="196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</w:rPr>
        <w:t>（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val="en-US" w:eastAsia="zh-CN"/>
        </w:rPr>
        <w:t>二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</w:rPr>
        <w:t>）基金定位。</w:t>
      </w:r>
    </w:p>
    <w:p>
      <w:pPr>
        <w:adjustRightInd w:val="0"/>
        <w:spacing w:line="600" w:lineRule="exact"/>
        <w:ind w:firstLine="643" w:firstLineChars="200"/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</w:rPr>
      </w:pP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</w:rPr>
        <w:t>（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  <w:lang w:val="en-US" w:eastAsia="zh-CN"/>
        </w:rPr>
        <w:t>三</w:t>
      </w:r>
      <w:r>
        <w:rPr>
          <w:rFonts w:hint="eastAsia" w:ascii="楷体_GB2312" w:hAnsi="楷体" w:eastAsia="楷体_GB2312" w:cs="楷体"/>
          <w:b/>
          <w:color w:val="000000"/>
          <w:kern w:val="44"/>
          <w:sz w:val="32"/>
          <w:szCs w:val="44"/>
        </w:rPr>
        <w:t>）设立目标。</w:t>
      </w:r>
    </w:p>
    <w:p>
      <w:pPr>
        <w:adjustRightInd w:val="0"/>
        <w:spacing w:line="60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设立目标为每年预计带动多少产值、就业，能孵化多少IPO等量化指标，能带动多少就业，将作为基金最终绩效考核、奖励让利等的依据。</w:t>
      </w:r>
    </w:p>
    <w:p>
      <w:pPr>
        <w:adjustRightInd w:val="0"/>
        <w:spacing w:line="600" w:lineRule="exact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如果是政策性基金，此目标是和行业主管部门确立过的目标</w:t>
      </w:r>
      <w:r>
        <w:rPr>
          <w:rFonts w:hint="eastAsia" w:ascii="仿宋_GB2312" w:eastAsia="仿宋_GB2312"/>
          <w:color w:val="FF0000"/>
          <w:sz w:val="32"/>
          <w:szCs w:val="32"/>
        </w:rPr>
        <w:t>。</w:t>
      </w:r>
    </w:p>
    <w:p>
      <w:pPr>
        <w:pStyle w:val="3"/>
        <w:spacing w:before="0" w:after="0" w:line="600" w:lineRule="exact"/>
        <w:ind w:firstLine="64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二、基金设立核心要素</w:t>
      </w:r>
    </w:p>
    <w:p>
      <w:pPr>
        <w:pStyle w:val="3"/>
        <w:spacing w:before="0" w:after="0" w:line="600" w:lineRule="exact"/>
        <w:ind w:firstLine="643" w:firstLineChars="200"/>
        <w:rPr>
          <w:rFonts w:ascii="楷体_GB2312" w:hAnsi="楷体" w:eastAsia="楷体_GB2312" w:cs="楷体"/>
          <w:b/>
          <w:bCs w:val="0"/>
          <w:color w:val="000000"/>
        </w:rPr>
      </w:pPr>
      <w:r>
        <w:rPr>
          <w:rFonts w:hint="eastAsia" w:ascii="楷体_GB2312" w:hAnsi="楷体" w:eastAsia="楷体_GB2312" w:cs="楷体"/>
          <w:b/>
          <w:bCs w:val="0"/>
          <w:color w:val="000000"/>
        </w:rPr>
        <w:t>（一）基本要素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1.基金名称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2.基金组织形式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3.基金规模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4.基金注册地：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5.基金存续期限：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  <w:t>（投资期、退出期、延长期）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6.基金管理人：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7.收益率：门槛收益率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</w:p>
    <w:p>
      <w:pPr>
        <w:autoSpaceDN w:val="0"/>
        <w:spacing w:line="600" w:lineRule="exact"/>
        <w:ind w:firstLine="627" w:firstLineChars="196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如果特别需要说明的，请放在8</w:t>
      </w:r>
    </w:p>
    <w:p>
      <w:pPr>
        <w:pStyle w:val="3"/>
        <w:spacing w:before="0" w:after="0" w:line="600" w:lineRule="exact"/>
        <w:ind w:firstLine="643" w:firstLineChars="200"/>
        <w:rPr>
          <w:rFonts w:ascii="楷体_GB2312" w:hAnsi="楷体" w:eastAsia="楷体_GB2312" w:cs="楷体"/>
          <w:b/>
          <w:bCs w:val="0"/>
        </w:rPr>
      </w:pPr>
      <w:r>
        <w:rPr>
          <w:rFonts w:hint="eastAsia" w:ascii="楷体_GB2312" w:hAnsi="楷体" w:eastAsia="楷体_GB2312" w:cs="楷体"/>
          <w:b/>
          <w:bCs w:val="0"/>
        </w:rPr>
        <w:t>（二）基金出资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1.出资构成。基金目标规模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eastAsia="仿宋_GB2312"/>
          <w:sz w:val="32"/>
          <w:szCs w:val="32"/>
        </w:rPr>
        <w:t>引导基金出资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</w:t>
      </w:r>
      <w:r>
        <w:rPr>
          <w:rFonts w:hint="eastAsia" w:ascii="仿宋_GB2312" w:eastAsia="仿宋_GB2312"/>
          <w:sz w:val="32"/>
          <w:szCs w:val="32"/>
        </w:rPr>
        <w:t>出资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**...</w:t>
      </w:r>
      <w:r>
        <w:rPr>
          <w:rFonts w:hint="eastAsia" w:ascii="仿宋_GB2312" w:eastAsia="仿宋_GB2312"/>
          <w:sz w:val="32"/>
          <w:szCs w:val="32"/>
        </w:rPr>
        <w:t>。具体如下：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具体情况如下：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939"/>
        <w:gridCol w:w="1416"/>
        <w:gridCol w:w="2385"/>
        <w:gridCol w:w="1180"/>
        <w:gridCol w:w="1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合伙人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性质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认缴出资额（亿元）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认缴份额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BEBEB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出资方式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有限合伙人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有限合伙人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有限合伙人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有限合伙人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有限合伙人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普通合伙人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货币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---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100.000%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2.出资进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度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3.出资人概况</w:t>
      </w:r>
    </w:p>
    <w:p>
      <w:pPr>
        <w:autoSpaceDN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（1）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******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  <w:t>（基本信息、财务要点及产业布局）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（2）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*******</w:t>
      </w:r>
    </w:p>
    <w:p>
      <w:pPr>
        <w:autoSpaceDN w:val="0"/>
        <w:spacing w:line="600" w:lineRule="exact"/>
        <w:ind w:firstLine="627" w:firstLineChars="196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（3）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*******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4.出资人关联股权关系。</w:t>
      </w:r>
    </w:p>
    <w:p>
      <w:pPr>
        <w:pStyle w:val="3"/>
        <w:spacing w:before="0" w:after="0" w:line="600" w:lineRule="exact"/>
        <w:ind w:firstLine="643" w:firstLineChars="200"/>
        <w:rPr>
          <w:rFonts w:hint="eastAsia" w:ascii="楷体_GB2312" w:hAnsi="楷体" w:eastAsia="楷体_GB2312" w:cs="楷体"/>
          <w:b/>
          <w:bCs w:val="0"/>
        </w:rPr>
      </w:pPr>
      <w:r>
        <w:rPr>
          <w:rFonts w:hint="eastAsia" w:ascii="楷体_GB2312" w:hAnsi="楷体" w:eastAsia="楷体_GB2312" w:cs="楷体"/>
          <w:b/>
          <w:bCs w:val="0"/>
        </w:rPr>
        <w:t>（三）基金投资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1.投资领域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2.投资比例。基金投向陕西省内企业的比例不低于基金总规模的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%；投资于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专业</w:t>
      </w:r>
      <w:r>
        <w:rPr>
          <w:rFonts w:hint="eastAsia" w:ascii="仿宋_GB2312" w:eastAsia="仿宋_GB2312"/>
          <w:sz w:val="32"/>
          <w:szCs w:val="32"/>
        </w:rPr>
        <w:t>投资领域的资金不低于基金可投资总额的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3.投资方式。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4.投资进度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  <w:t>（投资期内每年投资进度的计划安排）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5.投资策略。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6.投后管理。</w:t>
      </w:r>
    </w:p>
    <w:p>
      <w:pPr>
        <w:pStyle w:val="3"/>
        <w:spacing w:before="0" w:after="0" w:line="600" w:lineRule="exact"/>
        <w:ind w:firstLine="643" w:firstLineChars="200"/>
        <w:rPr>
          <w:rFonts w:ascii="楷体_GB2312" w:hAnsi="楷体" w:eastAsia="楷体_GB2312" w:cs="楷体"/>
          <w:b/>
          <w:bCs w:val="0"/>
        </w:rPr>
      </w:pPr>
      <w:r>
        <w:rPr>
          <w:rFonts w:hint="eastAsia" w:ascii="楷体_GB2312" w:hAnsi="楷体" w:eastAsia="楷体_GB2312" w:cs="楷体"/>
          <w:b/>
          <w:bCs w:val="0"/>
        </w:rPr>
        <w:t>（四）管理运营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1.管理模式。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</w:t>
      </w:r>
      <w:r>
        <w:rPr>
          <w:rFonts w:hint="eastAsia" w:ascii="仿宋_GB2312" w:eastAsia="仿宋_GB2312"/>
          <w:sz w:val="32"/>
          <w:szCs w:val="32"/>
        </w:rPr>
        <w:t>作为基金的普通合伙人、执行事务合伙人和管理人负责基金投资运营管理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(可根据具体的管理模式细化，文字不要过多）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2.议事规则。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  <w:t>投决会机制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autoSpaceDN w:val="0"/>
        <w:spacing w:line="560" w:lineRule="exact"/>
        <w:ind w:firstLine="627" w:firstLineChars="196"/>
        <w:rPr>
          <w:rFonts w:hint="eastAsia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引导基金有权委派一名观察员。</w:t>
      </w:r>
      <w:r>
        <w:rPr>
          <w:rFonts w:hint="eastAsia" w:ascii="仿宋_GB2312" w:eastAsia="仿宋_GB2312"/>
          <w:sz w:val="32"/>
          <w:szCs w:val="32"/>
        </w:rPr>
        <w:t>引导基金对拟投项目进行政策合规性前置审查。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通过审查的项目</w:t>
      </w:r>
      <w:r>
        <w:rPr>
          <w:rFonts w:hint="default" w:ascii="仿宋_GB2312" w:eastAsia="仿宋_GB2312"/>
          <w:sz w:val="32"/>
          <w:szCs w:val="32"/>
          <w:lang w:eastAsia="zh-CN"/>
        </w:rPr>
        <w:t>递交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基金投决会审议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3.管理费用。投资期按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%/年收取，退出期按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%/年收取，延长期不收取。投资期和退出期管理费收取基数为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3"/>
        <w:spacing w:before="0" w:after="0" w:line="600" w:lineRule="exact"/>
        <w:ind w:firstLine="643" w:firstLineChars="200"/>
        <w:rPr>
          <w:rFonts w:hint="default" w:ascii="楷体_GB2312" w:hAnsi="楷体" w:eastAsia="楷体_GB2312" w:cs="楷体"/>
          <w:b/>
          <w:bCs w:val="0"/>
          <w:lang w:val="en-US" w:eastAsia="zh-CN"/>
        </w:rPr>
      </w:pPr>
      <w:r>
        <w:rPr>
          <w:rFonts w:hint="eastAsia" w:ascii="楷体_GB2312" w:hAnsi="楷体" w:eastAsia="楷体_GB2312" w:cs="楷体"/>
          <w:b/>
          <w:bCs w:val="0"/>
        </w:rPr>
        <w:t>（五）基金退出</w:t>
      </w:r>
      <w:r>
        <w:rPr>
          <w:rFonts w:hint="eastAsia" w:ascii="楷体_GB2312" w:hAnsi="楷体" w:eastAsia="楷体_GB2312" w:cs="楷体"/>
          <w:b/>
          <w:bCs w:val="0"/>
          <w:lang w:val="en-US" w:eastAsia="zh-CN"/>
        </w:rPr>
        <w:t>及收益分配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1.退出方式。</w:t>
      </w: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2.基金收益分配。</w:t>
      </w:r>
    </w:p>
    <w:p>
      <w:pPr>
        <w:autoSpaceDN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3.基金清算。</w:t>
      </w:r>
    </w:p>
    <w:p>
      <w:pPr>
        <w:autoSpaceDN w:val="0"/>
        <w:spacing w:line="600" w:lineRule="exact"/>
        <w:ind w:firstLine="630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" w:eastAsia="楷体_GB2312" w:cs="楷体"/>
          <w:b/>
          <w:kern w:val="44"/>
          <w:sz w:val="32"/>
          <w:szCs w:val="44"/>
        </w:rPr>
        <w:t>（六）绩效管理。</w:t>
      </w:r>
      <w:r>
        <w:rPr>
          <w:rFonts w:hint="eastAsia" w:ascii="仿宋_GB2312" w:eastAsia="仿宋_GB2312"/>
          <w:sz w:val="32"/>
          <w:szCs w:val="32"/>
        </w:rPr>
        <w:t>按照财政部《关于加强政府投资基金管理提高财政出资效益的通知》（财预〔2020〕7号）和《陕西省政府投资引导基金管理办法》（陕政办发〔2019〕1号）《陕西省政府投资引导基金管理办法实施细则》（陕财办基金〔2019〕3号）要求，接受引导基金绩效管理，在基金存续期内开展年度绩效考核，存续期满进行整体运作绩效考核。考核结果与管理费、奖励让利等进行挂钩。具体方式在基金合伙协议中明确约定。</w:t>
      </w:r>
    </w:p>
    <w:p>
      <w:pPr>
        <w:autoSpaceDN/>
        <w:snapToGrid/>
        <w:spacing w:line="240" w:lineRule="auto"/>
        <w:ind w:firstLine="0" w:firstLineChars="0"/>
        <w:jc w:val="center"/>
        <w:rPr>
          <w:rFonts w:hint="default" w:ascii="Calibri" w:hAnsi="Calibri" w:eastAsia="仿宋" w:cs="Times New Roman"/>
          <w:b/>
          <w:bCs/>
          <w:sz w:val="32"/>
          <w:szCs w:val="32"/>
        </w:rPr>
      </w:pPr>
      <w:r>
        <w:rPr>
          <w:rFonts w:hint="default" w:ascii="Calibri" w:hAnsi="Calibri" w:eastAsia="仿宋" w:cs="Times New Roman"/>
          <w:b/>
          <w:bCs/>
          <w:sz w:val="32"/>
          <w:szCs w:val="32"/>
        </w:rPr>
        <w:t>基金绩效目标表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1426"/>
        <w:gridCol w:w="1932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00" w:type="pct"/>
            <w:gridSpan w:val="2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分解目标内容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绩效指标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政策目标</w:t>
            </w:r>
          </w:p>
        </w:tc>
        <w:tc>
          <w:tcPr>
            <w:tcW w:w="856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基金募资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募资规模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募资进度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财政资金的撬动作用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财政资金放大倍数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基金期限及投资进度安排</w:t>
            </w:r>
            <w:r>
              <w:rPr>
                <w:rStyle w:val="10"/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 xml:space="preserve"> 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子基金期限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计划投资进度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年投资期，按照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可投资金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进度投资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支持陕西省经济发展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子基金投资于陕西省内项目的比例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支持重点领域发展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子基金投资于约定领域的比例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预期社会经济效果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增加产值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促进资本市场发展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吸引人才或带动就业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44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管理目标</w:t>
            </w:r>
          </w:p>
        </w:tc>
        <w:tc>
          <w:tcPr>
            <w:tcW w:w="856" w:type="pct"/>
            <w:vMerge w:val="restar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管理规范性</w:t>
            </w: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子基金在中基协备案、在有资质的金融机构托管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持续维持团队稳定性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持续提升团队专业能力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344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vMerge w:val="continue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投资相关制度的建设与执行情况</w:t>
            </w:r>
          </w:p>
        </w:tc>
        <w:tc>
          <w:tcPr>
            <w:tcW w:w="2638" w:type="pct"/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textAlignment w:val="top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.基金管理公司情况</w:t>
      </w:r>
    </w:p>
    <w:p>
      <w:pPr>
        <w:autoSpaceDN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.拟投项目储备情况</w:t>
      </w:r>
    </w:p>
    <w:p>
      <w:pPr>
        <w:pStyle w:val="2"/>
        <w:rPr>
          <w:rFonts w:hint="eastAsia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pStyle w:val="4"/>
        <w:spacing w:before="0" w:after="0" w:line="600" w:lineRule="exact"/>
        <w:rPr>
          <w:rFonts w:hint="eastAsia" w:ascii="仿宋" w:hAnsi="仿宋" w:eastAsia="仿宋"/>
          <w:lang w:eastAsia="zh-CN"/>
        </w:rPr>
      </w:pPr>
      <w:r>
        <w:rPr>
          <w:rFonts w:hint="eastAsia" w:ascii="仿宋" w:hAnsi="仿宋" w:eastAsia="仿宋"/>
          <w:b w:val="0"/>
          <w:bCs w:val="0"/>
        </w:rPr>
        <w:br w:type="page"/>
      </w:r>
      <w:r>
        <w:rPr>
          <w:rFonts w:hint="eastAsia" w:ascii="仿宋" w:hAnsi="仿宋" w:eastAsia="仿宋"/>
          <w:b w:val="0"/>
          <w:bCs w:val="0"/>
        </w:rPr>
        <w:t>附件</w:t>
      </w:r>
      <w:r>
        <w:rPr>
          <w:rFonts w:hint="eastAsia" w:ascii="仿宋" w:hAnsi="仿宋" w:eastAsia="仿宋"/>
          <w:b w:val="0"/>
          <w:bCs w:val="0"/>
          <w:lang w:val="en-US" w:eastAsia="zh-CN"/>
        </w:rPr>
        <w:t>1</w:t>
      </w:r>
    </w:p>
    <w:p>
      <w:pPr>
        <w:pStyle w:val="4"/>
        <w:spacing w:before="0" w:after="0" w:line="240" w:lineRule="auto"/>
        <w:jc w:val="center"/>
        <w:rPr>
          <w:rFonts w:ascii="宋体" w:hAnsi="宋体"/>
        </w:rPr>
      </w:pPr>
      <w:r>
        <w:rPr>
          <w:rFonts w:hint="eastAsia" w:ascii="宋体" w:hAnsi="宋体" w:cs="黑体"/>
          <w:sz w:val="44"/>
          <w:szCs w:val="44"/>
        </w:rPr>
        <w:t>基金管理公司情况</w:t>
      </w:r>
    </w:p>
    <w:p>
      <w:pPr>
        <w:autoSpaceDN w:val="0"/>
        <w:ind w:firstLine="630" w:firstLineChars="196"/>
        <w:rPr>
          <w:rFonts w:ascii="仿宋" w:hAnsi="仿宋" w:eastAsia="仿宋"/>
          <w:b/>
          <w:sz w:val="32"/>
          <w:szCs w:val="32"/>
        </w:rPr>
      </w:pPr>
    </w:p>
    <w:p>
      <w:pPr>
        <w:autoSpaceDN w:val="0"/>
        <w:spacing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一、公司介绍</w:t>
      </w:r>
    </w:p>
    <w:p>
      <w:pPr>
        <w:widowControl/>
        <w:autoSpaceDN w:val="0"/>
        <w:spacing w:line="560" w:lineRule="exact"/>
        <w:ind w:firstLine="627" w:firstLineChars="196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</w:p>
    <w:p>
      <w:pPr>
        <w:widowControl/>
        <w:autoSpaceDN w:val="0"/>
        <w:spacing w:line="560" w:lineRule="exact"/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二、股权结构</w:t>
      </w:r>
    </w:p>
    <w:tbl>
      <w:tblPr>
        <w:tblStyle w:val="7"/>
        <w:tblW w:w="8320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2212"/>
        <w:gridCol w:w="1050"/>
        <w:gridCol w:w="1918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股东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认缴出资额</w:t>
            </w:r>
          </w:p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（单位：万元）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持股</w:t>
            </w:r>
          </w:p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实缴出资额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（单位：万元）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持股比例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100%</w:t>
            </w:r>
          </w:p>
        </w:tc>
      </w:tr>
    </w:tbl>
    <w:p>
      <w:pPr>
        <w:autoSpaceDN w:val="0"/>
        <w:spacing w:line="56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三、管理架构</w:t>
      </w:r>
    </w:p>
    <w:p>
      <w:pPr>
        <w:widowControl/>
        <w:autoSpaceDN w:val="0"/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</w:p>
    <w:p>
      <w:pPr>
        <w:widowControl/>
        <w:autoSpaceDN w:val="0"/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autoSpaceDN w:val="0"/>
        <w:spacing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四、管理团队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XXX（团队介绍）</w:t>
      </w:r>
    </w:p>
    <w:p>
      <w:pPr>
        <w:autoSpaceDN w:val="0"/>
        <w:spacing w:line="560" w:lineRule="exact"/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五、投资业绩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公司投资业绩和团队个人投资业绩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autoSpaceDN w:val="0"/>
        <w:spacing w:line="600" w:lineRule="exact"/>
        <w:ind w:firstLine="627" w:firstLineChars="196"/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60" w:lineRule="exact"/>
        <w:rPr>
          <w:rFonts w:hint="eastAsia"/>
          <w:color w:val="000000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439" w:charSpace="0"/>
        </w:sectPr>
      </w:pP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spacing w:line="240" w:lineRule="atLeast"/>
        <w:ind w:firstLine="883" w:firstLineChars="200"/>
        <w:jc w:val="center"/>
        <w:rPr>
          <w:rFonts w:hint="eastAsia" w:ascii="宋体" w:hAnsi="宋体" w:eastAsia="宋体"/>
          <w:b/>
          <w:color w:val="FF0000"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拟投项目储备情况</w:t>
      </w:r>
    </w:p>
    <w:tbl>
      <w:tblPr>
        <w:tblStyle w:val="7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1955"/>
        <w:gridCol w:w="761"/>
        <w:gridCol w:w="544"/>
        <w:gridCol w:w="1319"/>
        <w:gridCol w:w="1325"/>
        <w:gridCol w:w="1040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所属领域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地区</w:t>
            </w: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拟投金额（万元）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拟投资占比（%）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目前项目进展</w:t>
            </w: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计划退出方式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7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8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9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11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12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13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14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15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16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17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18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19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20</w:t>
            </w:r>
          </w:p>
        </w:tc>
        <w:tc>
          <w:tcPr>
            <w:tcW w:w="179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总计拟投金额</w:t>
            </w:r>
          </w:p>
        </w:tc>
        <w:tc>
          <w:tcPr>
            <w:tcW w:w="289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  <w:bookmarkStart w:id="1" w:name="_GoBack"/>
      <w:bookmarkEnd w:id="1"/>
    </w:p>
    <w:sectPr>
      <w:headerReference r:id="rId4" w:type="default"/>
      <w:footerReference r:id="rId5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360" w:lineRule="auto"/>
      <w:jc w:val="left"/>
      <w:rPr>
        <w:rFonts w:ascii="Times New Roman" w:hAnsi="Times New Roman" w:eastAsia="仿宋"/>
        <w:sz w:val="18"/>
        <w:szCs w:val="18"/>
      </w:rPr>
    </w:pPr>
    <w:r>
      <w:rPr>
        <w:rFonts w:ascii="Times New Roman" w:hAnsi="Times New Roman" w:eastAsia="仿宋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spacing w:line="360" w:lineRule="auto"/>
                            <w:ind w:firstLine="360" w:firstLineChars="200"/>
                            <w:jc w:val="left"/>
                            <w:rPr>
                              <w:rFonts w:hint="eastAsia" w:ascii="Times New Roman" w:hAnsi="Times New Roman" w:eastAsia="仿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Times New Roman" w:hAnsi="Times New Roman" w:eastAsia="仿宋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eastAsia="仿宋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eastAsia="仿宋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"/>
                              <w:sz w:val="18"/>
                              <w:szCs w:val="18"/>
                            </w:rPr>
                            <w:t>- 4 -</w:t>
                          </w:r>
                          <w:r>
                            <w:rPr>
                              <w:rFonts w:hint="eastAsia" w:ascii="Times New Roman" w:hAnsi="Times New Roman" w:eastAsia="仿宋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spacing w:line="360" w:lineRule="auto"/>
                      <w:ind w:firstLine="360" w:firstLineChars="200"/>
                      <w:jc w:val="left"/>
                      <w:rPr>
                        <w:rFonts w:hint="eastAsia" w:ascii="Times New Roman" w:hAnsi="Times New Roman" w:eastAsia="仿宋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仿宋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eastAsia="仿宋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eastAsia="仿宋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"/>
                        <w:sz w:val="18"/>
                        <w:szCs w:val="18"/>
                      </w:rPr>
                      <w:t>- 4 -</w:t>
                    </w:r>
                    <w:r>
                      <w:rPr>
                        <w:rFonts w:hint="eastAsia" w:ascii="Times New Roman" w:hAnsi="Times New Roman" w:eastAsia="仿宋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5734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45.1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0Y/r+0QAAAAMBAAAPAAAAAAAAAAEAIAAAACIAAABkcnMvZG93bnJldi54bWxQ&#10;SwECFAAUAAAACACHTuJAcMRa/f4BAAAPBAAADgAAAAAAAAABACAAAAAg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43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1EF0"/>
    <w:rsid w:val="000B2A1A"/>
    <w:rsid w:val="000C1F8B"/>
    <w:rsid w:val="00297609"/>
    <w:rsid w:val="002E60A5"/>
    <w:rsid w:val="002E7B14"/>
    <w:rsid w:val="00312FB5"/>
    <w:rsid w:val="003A6EE1"/>
    <w:rsid w:val="00426A80"/>
    <w:rsid w:val="00464C8C"/>
    <w:rsid w:val="004B6553"/>
    <w:rsid w:val="004B65AA"/>
    <w:rsid w:val="0051443D"/>
    <w:rsid w:val="006B5D8C"/>
    <w:rsid w:val="008569C6"/>
    <w:rsid w:val="00865B00"/>
    <w:rsid w:val="0089141A"/>
    <w:rsid w:val="00A445C8"/>
    <w:rsid w:val="00A5555F"/>
    <w:rsid w:val="00AD0F86"/>
    <w:rsid w:val="00AD7AFA"/>
    <w:rsid w:val="00BA014B"/>
    <w:rsid w:val="00BC5A00"/>
    <w:rsid w:val="00BE076E"/>
    <w:rsid w:val="00D3203C"/>
    <w:rsid w:val="00DC282C"/>
    <w:rsid w:val="00E138D7"/>
    <w:rsid w:val="00ED6009"/>
    <w:rsid w:val="00FE6745"/>
    <w:rsid w:val="08C80E27"/>
    <w:rsid w:val="0DD82B4D"/>
    <w:rsid w:val="107E4C15"/>
    <w:rsid w:val="13654997"/>
    <w:rsid w:val="14047834"/>
    <w:rsid w:val="14181E1C"/>
    <w:rsid w:val="16016618"/>
    <w:rsid w:val="16C369EE"/>
    <w:rsid w:val="1F2C69E7"/>
    <w:rsid w:val="1F2C7D51"/>
    <w:rsid w:val="1F86685D"/>
    <w:rsid w:val="21423D14"/>
    <w:rsid w:val="230D3667"/>
    <w:rsid w:val="2BCA7271"/>
    <w:rsid w:val="2C210E18"/>
    <w:rsid w:val="2C457D35"/>
    <w:rsid w:val="2E4D75AE"/>
    <w:rsid w:val="2E8F66A6"/>
    <w:rsid w:val="2F7F2701"/>
    <w:rsid w:val="32E105F2"/>
    <w:rsid w:val="33ED76F7"/>
    <w:rsid w:val="36C07709"/>
    <w:rsid w:val="37EF73C5"/>
    <w:rsid w:val="39206BDE"/>
    <w:rsid w:val="3AC033BD"/>
    <w:rsid w:val="3BB471D5"/>
    <w:rsid w:val="3C5C461A"/>
    <w:rsid w:val="3FA9089F"/>
    <w:rsid w:val="402202BD"/>
    <w:rsid w:val="4657391D"/>
    <w:rsid w:val="476559B8"/>
    <w:rsid w:val="48D04FF7"/>
    <w:rsid w:val="4EF66D29"/>
    <w:rsid w:val="524E586F"/>
    <w:rsid w:val="54DE3188"/>
    <w:rsid w:val="556030BF"/>
    <w:rsid w:val="5FAB31AA"/>
    <w:rsid w:val="60764FDC"/>
    <w:rsid w:val="618D46F6"/>
    <w:rsid w:val="644547CF"/>
    <w:rsid w:val="688A67D5"/>
    <w:rsid w:val="6B4C2DC9"/>
    <w:rsid w:val="713D630D"/>
    <w:rsid w:val="725447CC"/>
    <w:rsid w:val="759532BD"/>
    <w:rsid w:val="78382770"/>
    <w:rsid w:val="7BDC47B1"/>
    <w:rsid w:val="7E1F78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/>
      <w:spacing w:before="340" w:after="330" w:line="578" w:lineRule="auto"/>
      <w:outlineLvl w:val="0"/>
    </w:pPr>
    <w:rPr>
      <w:rFonts w:ascii="仿宋" w:hAnsi="仿宋" w:eastAsia="黑体" w:cs="仿宋"/>
      <w:bCs/>
      <w:kern w:val="44"/>
      <w:sz w:val="32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ind w:firstLine="640"/>
      <w:outlineLvl w:val="2"/>
    </w:pPr>
    <w:rPr>
      <w:rFonts w:ascii="仿宋_GB2312" w:hAnsi="仿宋_GB2312" w:eastAsia="仿宋"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widowControl/>
      <w:tabs>
        <w:tab w:val="center" w:pos="4153"/>
        <w:tab w:val="right" w:pos="8306"/>
      </w:tabs>
      <w:snapToGrid w:val="0"/>
      <w:spacing w:before="340" w:after="330"/>
      <w:jc w:val="left"/>
    </w:pPr>
    <w:rPr>
      <w:rFonts w:ascii="仿宋" w:hAnsi="仿宋" w:eastAsia="仿宋" w:cs="仿宋"/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footnote reference"/>
    <w:basedOn w:val="8"/>
    <w:qFormat/>
    <w:uiPriority w:val="0"/>
    <w:rPr>
      <w:vertAlign w:val="superscript"/>
    </w:rPr>
  </w:style>
  <w:style w:type="character" w:customStyle="1" w:styleId="10">
    <w:name w:val="font31"/>
    <w:basedOn w:val="8"/>
    <w:qFormat/>
    <w:uiPriority w:val="0"/>
    <w:rPr>
      <w:rFonts w:ascii="Arial" w:hAnsi="Arial" w:cs="Arial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16</Pages>
  <Words>1228</Words>
  <Characters>7002</Characters>
  <Lines>58</Lines>
  <Paragraphs>16</Paragraphs>
  <TotalTime>17</TotalTime>
  <ScaleCrop>false</ScaleCrop>
  <LinksUpToDate>false</LinksUpToDate>
  <CharactersWithSpaces>8214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卢香羽</cp:lastModifiedBy>
  <cp:lastPrinted>2020-06-01T01:26:00Z</cp:lastPrinted>
  <dcterms:modified xsi:type="dcterms:W3CDTF">2021-04-20T07:39:04Z</dcterms:modified>
  <dc:title>陕西国华军民融合产业发展基金设立方案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8542968DCCDE45E4AF932B531FEEABA3</vt:lpwstr>
  </property>
</Properties>
</file>